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97328D6" w:rsidR="00307299" w:rsidRPr="001F37DA" w:rsidRDefault="00000000">
      <w:pPr>
        <w:jc w:val="center"/>
        <w:rPr>
          <w:rFonts w:asciiTheme="majorHAnsi" w:eastAsia="Calibri" w:hAnsiTheme="majorHAnsi" w:cstheme="majorHAnsi"/>
          <w:sz w:val="28"/>
          <w:szCs w:val="28"/>
        </w:rPr>
      </w:pPr>
      <w:r w:rsidRPr="001F37DA">
        <w:rPr>
          <w:rFonts w:asciiTheme="majorHAnsi" w:eastAsia="Calibri" w:hAnsiTheme="majorHAnsi" w:cstheme="majorHAnsi"/>
          <w:sz w:val="28"/>
          <w:szCs w:val="28"/>
        </w:rPr>
        <w:t>Appel à Communication</w:t>
      </w:r>
      <w:r w:rsidR="0033601C">
        <w:rPr>
          <w:rFonts w:asciiTheme="majorHAnsi" w:eastAsia="Calibri" w:hAnsiTheme="majorHAnsi" w:cstheme="majorHAnsi"/>
          <w:sz w:val="28"/>
          <w:szCs w:val="28"/>
        </w:rPr>
        <w:t>s</w:t>
      </w:r>
    </w:p>
    <w:p w14:paraId="00000004" w14:textId="638C4FD5" w:rsidR="00307299" w:rsidRPr="001F37DA" w:rsidRDefault="0033601C">
      <w:pPr>
        <w:jc w:val="center"/>
        <w:rPr>
          <w:rFonts w:asciiTheme="majorHAnsi" w:eastAsia="Calibri" w:hAnsiTheme="majorHAnsi" w:cstheme="majorHAnsi"/>
          <w:b/>
          <w:sz w:val="40"/>
          <w:szCs w:val="40"/>
        </w:rPr>
      </w:pPr>
      <w:r>
        <w:rPr>
          <w:rFonts w:asciiTheme="majorHAnsi" w:eastAsia="Calibri" w:hAnsiTheme="majorHAnsi" w:cstheme="majorHAnsi"/>
          <w:b/>
          <w:sz w:val="40"/>
          <w:szCs w:val="40"/>
        </w:rPr>
        <w:t xml:space="preserve">Workshop </w:t>
      </w:r>
      <w:r w:rsidR="00053B30">
        <w:rPr>
          <w:rFonts w:asciiTheme="majorHAnsi" w:eastAsia="Calibri" w:hAnsiTheme="majorHAnsi" w:cstheme="majorHAnsi"/>
          <w:b/>
          <w:sz w:val="40"/>
          <w:szCs w:val="40"/>
        </w:rPr>
        <w:t>« </w:t>
      </w:r>
      <w:r w:rsidR="00D77C54" w:rsidRPr="00D77C54">
        <w:rPr>
          <w:rFonts w:asciiTheme="majorHAnsi" w:eastAsia="Calibri" w:hAnsiTheme="majorHAnsi" w:cstheme="majorHAnsi"/>
          <w:b/>
          <w:sz w:val="40"/>
          <w:szCs w:val="40"/>
        </w:rPr>
        <w:t>Territoire &amp; entrepreneurs résilients : les clés d’une bonne santé mentale face à la difficulté</w:t>
      </w:r>
      <w:r w:rsidR="00053B30">
        <w:rPr>
          <w:rFonts w:asciiTheme="majorHAnsi" w:eastAsia="Calibri" w:hAnsiTheme="majorHAnsi" w:cstheme="majorHAnsi"/>
          <w:b/>
          <w:sz w:val="40"/>
          <w:szCs w:val="40"/>
        </w:rPr>
        <w:t> »</w:t>
      </w:r>
      <w:r w:rsidRPr="001F37DA">
        <w:rPr>
          <w:rFonts w:asciiTheme="majorHAnsi" w:eastAsia="Calibri" w:hAnsiTheme="majorHAnsi" w:cstheme="majorHAnsi"/>
          <w:b/>
          <w:sz w:val="40"/>
          <w:szCs w:val="40"/>
        </w:rPr>
        <w:t xml:space="preserve"> </w:t>
      </w:r>
    </w:p>
    <w:p w14:paraId="00000005" w14:textId="5C947C7C" w:rsidR="00307299" w:rsidRPr="001F37DA" w:rsidRDefault="00D77C54">
      <w:pPr>
        <w:jc w:val="center"/>
        <w:rPr>
          <w:rFonts w:asciiTheme="majorHAnsi" w:eastAsia="Calibri" w:hAnsiTheme="majorHAnsi" w:cstheme="majorHAnsi"/>
          <w:sz w:val="28"/>
          <w:szCs w:val="28"/>
        </w:rPr>
      </w:pPr>
      <w:r>
        <w:rPr>
          <w:rFonts w:asciiTheme="majorHAnsi" w:eastAsia="Calibri" w:hAnsiTheme="majorHAnsi" w:cstheme="majorHAnsi"/>
          <w:sz w:val="28"/>
          <w:szCs w:val="28"/>
        </w:rPr>
        <w:t>Jeudi 24</w:t>
      </w:r>
      <w:r w:rsidRPr="001F37DA">
        <w:rPr>
          <w:rFonts w:asciiTheme="majorHAnsi" w:eastAsia="Calibri" w:hAnsiTheme="majorHAnsi" w:cstheme="majorHAnsi"/>
          <w:sz w:val="28"/>
          <w:szCs w:val="28"/>
        </w:rPr>
        <w:t xml:space="preserve"> </w:t>
      </w:r>
      <w:r>
        <w:rPr>
          <w:rFonts w:asciiTheme="majorHAnsi" w:eastAsia="Calibri" w:hAnsiTheme="majorHAnsi" w:cstheme="majorHAnsi"/>
          <w:sz w:val="28"/>
          <w:szCs w:val="28"/>
        </w:rPr>
        <w:t>septembre</w:t>
      </w:r>
      <w:r w:rsidRPr="001F37DA">
        <w:rPr>
          <w:rFonts w:asciiTheme="majorHAnsi" w:eastAsia="Calibri" w:hAnsiTheme="majorHAnsi" w:cstheme="majorHAnsi"/>
          <w:sz w:val="28"/>
          <w:szCs w:val="28"/>
        </w:rPr>
        <w:t xml:space="preserve"> 202</w:t>
      </w:r>
      <w:r w:rsidR="00A3151A">
        <w:rPr>
          <w:rFonts w:asciiTheme="majorHAnsi" w:eastAsia="Calibri" w:hAnsiTheme="majorHAnsi" w:cstheme="majorHAnsi"/>
          <w:sz w:val="28"/>
          <w:szCs w:val="28"/>
        </w:rPr>
        <w:t>6</w:t>
      </w:r>
      <w:r w:rsidR="001F37DA">
        <w:rPr>
          <w:rFonts w:asciiTheme="majorHAnsi" w:eastAsia="Calibri" w:hAnsiTheme="majorHAnsi" w:cstheme="majorHAnsi"/>
          <w:sz w:val="28"/>
          <w:szCs w:val="28"/>
        </w:rPr>
        <w:t xml:space="preserve"> – </w:t>
      </w:r>
      <w:r>
        <w:rPr>
          <w:rFonts w:asciiTheme="majorHAnsi" w:eastAsia="Calibri" w:hAnsiTheme="majorHAnsi" w:cstheme="majorHAnsi"/>
          <w:sz w:val="28"/>
          <w:szCs w:val="28"/>
        </w:rPr>
        <w:t>ESSCA Campus de Bordeaux</w:t>
      </w:r>
      <w:r w:rsidR="001F37DA">
        <w:rPr>
          <w:rFonts w:asciiTheme="majorHAnsi" w:eastAsia="Calibri" w:hAnsiTheme="majorHAnsi" w:cstheme="majorHAnsi"/>
          <w:sz w:val="28"/>
          <w:szCs w:val="28"/>
        </w:rPr>
        <w:t xml:space="preserve"> </w:t>
      </w:r>
    </w:p>
    <w:p w14:paraId="00000006" w14:textId="77777777" w:rsidR="00307299" w:rsidRPr="001F37DA" w:rsidRDefault="00000000">
      <w:pP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1F37DA">
        <w:rPr>
          <w:rFonts w:asciiTheme="majorHAnsi" w:eastAsia="Calibri" w:hAnsiTheme="majorHAnsi" w:cstheme="majorHAnsi"/>
          <w:sz w:val="24"/>
          <w:szCs w:val="24"/>
        </w:rPr>
        <w:t>Format hybride</w:t>
      </w:r>
    </w:p>
    <w:p w14:paraId="00000008" w14:textId="77777777" w:rsidR="00307299" w:rsidRPr="001F37DA" w:rsidRDefault="00307299">
      <w:pPr>
        <w:rPr>
          <w:rFonts w:asciiTheme="majorHAnsi" w:eastAsia="Calibri" w:hAnsiTheme="majorHAnsi" w:cstheme="majorHAnsi"/>
        </w:rPr>
      </w:pPr>
    </w:p>
    <w:p w14:paraId="2C1B0350" w14:textId="568758B6" w:rsidR="00D77C54" w:rsidRPr="00D77C54" w:rsidRDefault="00D77C54" w:rsidP="00D77C54">
      <w:pPr>
        <w:jc w:val="both"/>
        <w:rPr>
          <w:rFonts w:asciiTheme="majorHAnsi" w:hAnsiTheme="majorHAnsi" w:cstheme="majorHAnsi"/>
          <w:sz w:val="24"/>
          <w:szCs w:val="24"/>
        </w:rPr>
      </w:pPr>
      <w:r w:rsidRPr="00D77C54">
        <w:rPr>
          <w:rFonts w:asciiTheme="majorHAnsi" w:hAnsiTheme="majorHAnsi" w:cstheme="majorHAnsi"/>
          <w:sz w:val="24"/>
          <w:szCs w:val="24"/>
        </w:rPr>
        <w:t>Ce workshop</w:t>
      </w:r>
      <w:r w:rsidR="003C1ADE">
        <w:rPr>
          <w:rFonts w:asciiTheme="majorHAnsi" w:hAnsiTheme="majorHAnsi" w:cstheme="majorHAnsi"/>
          <w:sz w:val="24"/>
          <w:szCs w:val="24"/>
        </w:rPr>
        <w:t>,</w:t>
      </w:r>
      <w:r w:rsidRPr="00D77C54">
        <w:rPr>
          <w:rFonts w:asciiTheme="majorHAnsi" w:hAnsiTheme="majorHAnsi" w:cstheme="majorHAnsi"/>
          <w:sz w:val="24"/>
          <w:szCs w:val="24"/>
        </w:rPr>
        <w:t xml:space="preserve"> </w:t>
      </w:r>
      <w:r w:rsidR="003C1ADE">
        <w:rPr>
          <w:rFonts w:asciiTheme="majorHAnsi" w:hAnsiTheme="majorHAnsi" w:cstheme="majorHAnsi"/>
          <w:sz w:val="24"/>
          <w:szCs w:val="24"/>
        </w:rPr>
        <w:t>organisé par l’ESSCA et l’IRGO – le laboratoire de recherche en sciences de gestion de l’université de Bordeaux</w:t>
      </w:r>
      <w:r w:rsidR="00073843">
        <w:rPr>
          <w:rFonts w:asciiTheme="majorHAnsi" w:hAnsiTheme="majorHAnsi" w:cstheme="majorHAnsi"/>
          <w:sz w:val="24"/>
          <w:szCs w:val="24"/>
        </w:rPr>
        <w:t xml:space="preserve"> – dans le cadre du Grand Programme de Recherche HOPE et de RégeN-A</w:t>
      </w:r>
      <w:r w:rsidR="00FB69C9">
        <w:rPr>
          <w:rStyle w:val="Appelnotedebasdep"/>
          <w:rFonts w:asciiTheme="majorHAnsi" w:hAnsiTheme="majorHAnsi" w:cstheme="majorHAnsi"/>
          <w:sz w:val="24"/>
          <w:szCs w:val="24"/>
        </w:rPr>
        <w:footnoteReference w:id="1"/>
      </w:r>
      <w:r w:rsidR="003C1ADE">
        <w:rPr>
          <w:rFonts w:asciiTheme="majorHAnsi" w:hAnsiTheme="majorHAnsi" w:cstheme="majorHAnsi"/>
          <w:sz w:val="24"/>
          <w:szCs w:val="24"/>
        </w:rPr>
        <w:t xml:space="preserve">, </w:t>
      </w:r>
      <w:r w:rsidRPr="00D77C54">
        <w:rPr>
          <w:rFonts w:asciiTheme="majorHAnsi" w:hAnsiTheme="majorHAnsi" w:cstheme="majorHAnsi"/>
          <w:sz w:val="24"/>
          <w:szCs w:val="24"/>
        </w:rPr>
        <w:t>se situe au carrefour de la santé mentale, de l’accompagnement entrepreneurial et de la gestion de la difficulté entrepreneuriale, en dépassant une lecture strictement individuelle des vulnérabilités psychologiques des entrepreneurs.</w:t>
      </w:r>
    </w:p>
    <w:p w14:paraId="235AF133" w14:textId="05418813" w:rsidR="00D77C54" w:rsidRDefault="00D77C54" w:rsidP="00D77C54">
      <w:pPr>
        <w:jc w:val="both"/>
        <w:rPr>
          <w:rFonts w:asciiTheme="majorHAnsi" w:hAnsiTheme="majorHAnsi" w:cstheme="majorHAnsi"/>
          <w:sz w:val="24"/>
          <w:szCs w:val="24"/>
        </w:rPr>
      </w:pPr>
      <w:r w:rsidRPr="00D77C54">
        <w:rPr>
          <w:rFonts w:asciiTheme="majorHAnsi" w:hAnsiTheme="majorHAnsi" w:cstheme="majorHAnsi"/>
          <w:sz w:val="24"/>
          <w:szCs w:val="24"/>
        </w:rPr>
        <w:t xml:space="preserve">Si la littérature a largement documenté les facteurs individuels de stress, de burnout ou de détresse psychologique chez les entrepreneurs (Shepherd, 2003 ; </w:t>
      </w:r>
      <w:proofErr w:type="spellStart"/>
      <w:r>
        <w:rPr>
          <w:rFonts w:asciiTheme="majorHAnsi" w:hAnsiTheme="majorHAnsi" w:cstheme="majorHAnsi"/>
          <w:sz w:val="24"/>
          <w:szCs w:val="24"/>
        </w:rPr>
        <w:t>U</w:t>
      </w:r>
      <w:r w:rsidRPr="00D77C54">
        <w:rPr>
          <w:rFonts w:asciiTheme="majorHAnsi" w:hAnsiTheme="majorHAnsi" w:cstheme="majorHAnsi"/>
          <w:sz w:val="24"/>
          <w:szCs w:val="24"/>
        </w:rPr>
        <w:t>cbsasaran</w:t>
      </w:r>
      <w:proofErr w:type="spellEnd"/>
      <w:r w:rsidRPr="00D77C54">
        <w:rPr>
          <w:rFonts w:asciiTheme="majorHAnsi" w:hAnsiTheme="majorHAnsi" w:cstheme="majorHAnsi"/>
          <w:sz w:val="24"/>
          <w:szCs w:val="24"/>
        </w:rPr>
        <w:t xml:space="preserve"> et al. 2013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77C54">
        <w:rPr>
          <w:rFonts w:asciiTheme="majorHAnsi" w:hAnsiTheme="majorHAnsi" w:cstheme="majorHAnsi"/>
          <w:sz w:val="24"/>
          <w:szCs w:val="24"/>
        </w:rPr>
        <w:t xml:space="preserve">; Ahmed et al. 2022 ; Stephan, 2018), cette approche </w:t>
      </w:r>
      <w:r w:rsidR="003C1ADE">
        <w:rPr>
          <w:rFonts w:asciiTheme="majorHAnsi" w:hAnsiTheme="majorHAnsi" w:cstheme="majorHAnsi"/>
          <w:sz w:val="24"/>
          <w:szCs w:val="24"/>
        </w:rPr>
        <w:t>mérite aujourd’hui d’être prolongée et enrichie</w:t>
      </w:r>
      <w:r w:rsidRPr="00D77C54">
        <w:rPr>
          <w:rFonts w:asciiTheme="majorHAnsi" w:hAnsiTheme="majorHAnsi" w:cstheme="majorHAnsi"/>
          <w:sz w:val="24"/>
          <w:szCs w:val="24"/>
        </w:rPr>
        <w:t xml:space="preserve">. </w:t>
      </w:r>
      <w:r w:rsidR="003C1ADE">
        <w:rPr>
          <w:rFonts w:asciiTheme="majorHAnsi" w:hAnsiTheme="majorHAnsi" w:cstheme="majorHAnsi"/>
          <w:sz w:val="24"/>
          <w:szCs w:val="24"/>
        </w:rPr>
        <w:t>En effet, l</w:t>
      </w:r>
      <w:r w:rsidRPr="00D77C54">
        <w:rPr>
          <w:rFonts w:asciiTheme="majorHAnsi" w:hAnsiTheme="majorHAnsi" w:cstheme="majorHAnsi"/>
          <w:sz w:val="24"/>
          <w:szCs w:val="24"/>
        </w:rPr>
        <w:t>es entrepreneurs ne sont ni des acteurs isolés</w:t>
      </w:r>
      <w:r w:rsidR="003C1ADE">
        <w:rPr>
          <w:rFonts w:asciiTheme="majorHAnsi" w:hAnsiTheme="majorHAnsi" w:cstheme="majorHAnsi"/>
          <w:sz w:val="24"/>
          <w:szCs w:val="24"/>
        </w:rPr>
        <w:t>,</w:t>
      </w:r>
      <w:r w:rsidRPr="00D77C54">
        <w:rPr>
          <w:rFonts w:asciiTheme="majorHAnsi" w:hAnsiTheme="majorHAnsi" w:cstheme="majorHAnsi"/>
          <w:sz w:val="24"/>
          <w:szCs w:val="24"/>
        </w:rPr>
        <w:t xml:space="preserve"> ni des sujets abstraits : ils appartiennent à des territoires, à des filières, à des collectifs professionnels, et évoluent dans des contextes économiques, sociaux et institutionnels qui </w:t>
      </w:r>
      <w:r w:rsidR="003C1ADE" w:rsidRPr="003C1ADE">
        <w:rPr>
          <w:rFonts w:asciiTheme="majorHAnsi" w:hAnsiTheme="majorHAnsi" w:cstheme="majorHAnsi"/>
          <w:sz w:val="24"/>
          <w:szCs w:val="24"/>
        </w:rPr>
        <w:t>conditionnent concrètement leurs marges de manœuvre, leurs soutiens disponibles et leur exposition aux risques</w:t>
      </w:r>
      <w:r w:rsidRPr="00D77C54">
        <w:rPr>
          <w:rFonts w:asciiTheme="majorHAnsi" w:hAnsiTheme="majorHAnsi" w:cstheme="majorHAnsi"/>
          <w:sz w:val="24"/>
          <w:szCs w:val="24"/>
        </w:rPr>
        <w:t xml:space="preserve"> (Welter, 2011</w:t>
      </w:r>
      <w:r w:rsidR="003C1ADE">
        <w:rPr>
          <w:rFonts w:asciiTheme="majorHAnsi" w:hAnsiTheme="majorHAnsi" w:cstheme="majorHAnsi"/>
          <w:sz w:val="24"/>
          <w:szCs w:val="24"/>
        </w:rPr>
        <w:t> </w:t>
      </w:r>
      <w:r w:rsidRPr="00D77C54">
        <w:rPr>
          <w:rFonts w:asciiTheme="majorHAnsi" w:hAnsiTheme="majorHAnsi" w:cstheme="majorHAnsi"/>
          <w:sz w:val="24"/>
          <w:szCs w:val="24"/>
        </w:rPr>
        <w:t>; Welter et Gartner, 2016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77C54">
        <w:rPr>
          <w:rFonts w:asciiTheme="majorHAnsi" w:hAnsiTheme="majorHAnsi" w:cstheme="majorHAnsi"/>
          <w:sz w:val="24"/>
          <w:szCs w:val="24"/>
        </w:rPr>
        <w:t xml:space="preserve">; </w:t>
      </w:r>
      <w:proofErr w:type="spellStart"/>
      <w:r w:rsidRPr="00D77C54">
        <w:rPr>
          <w:rFonts w:asciiTheme="majorHAnsi" w:hAnsiTheme="majorHAnsi" w:cstheme="majorHAnsi"/>
          <w:sz w:val="24"/>
          <w:szCs w:val="24"/>
        </w:rPr>
        <w:t>Audretsch</w:t>
      </w:r>
      <w:proofErr w:type="spellEnd"/>
      <w:r w:rsidRPr="00D77C54">
        <w:rPr>
          <w:rFonts w:asciiTheme="majorHAnsi" w:hAnsiTheme="majorHAnsi" w:cstheme="majorHAnsi"/>
          <w:sz w:val="24"/>
          <w:szCs w:val="24"/>
        </w:rPr>
        <w:t xml:space="preserve"> et al.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D77C54">
        <w:rPr>
          <w:rFonts w:asciiTheme="majorHAnsi" w:hAnsiTheme="majorHAnsi" w:cstheme="majorHAnsi"/>
          <w:sz w:val="24"/>
          <w:szCs w:val="24"/>
        </w:rPr>
        <w:t xml:space="preserve"> 2012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77C54">
        <w:rPr>
          <w:rFonts w:asciiTheme="majorHAnsi" w:hAnsiTheme="majorHAnsi" w:cstheme="majorHAnsi"/>
          <w:sz w:val="24"/>
          <w:szCs w:val="24"/>
        </w:rPr>
        <w:t xml:space="preserve">; </w:t>
      </w:r>
      <w:proofErr w:type="spellStart"/>
      <w:r w:rsidRPr="00D77C54">
        <w:rPr>
          <w:rFonts w:asciiTheme="majorHAnsi" w:hAnsiTheme="majorHAnsi" w:cstheme="majorHAnsi"/>
          <w:sz w:val="24"/>
          <w:szCs w:val="24"/>
        </w:rPr>
        <w:t>Patriotta</w:t>
      </w:r>
      <w:proofErr w:type="spellEnd"/>
      <w:r w:rsidRPr="00D77C54">
        <w:rPr>
          <w:rFonts w:asciiTheme="majorHAnsi" w:hAnsiTheme="majorHAnsi" w:cstheme="majorHAnsi"/>
          <w:sz w:val="24"/>
          <w:szCs w:val="24"/>
        </w:rPr>
        <w:t xml:space="preserve"> et Siegel, 2019).</w:t>
      </w:r>
    </w:p>
    <w:p w14:paraId="72E402E6" w14:textId="0955585C" w:rsidR="00D77C54" w:rsidRPr="00D77C54" w:rsidRDefault="00D77C54" w:rsidP="00D77C54">
      <w:pPr>
        <w:jc w:val="both"/>
        <w:rPr>
          <w:rFonts w:asciiTheme="majorHAnsi" w:hAnsiTheme="majorHAnsi" w:cstheme="majorHAnsi"/>
          <w:sz w:val="24"/>
          <w:szCs w:val="24"/>
        </w:rPr>
      </w:pPr>
      <w:r w:rsidRPr="00D77C54">
        <w:rPr>
          <w:rFonts w:asciiTheme="majorHAnsi" w:hAnsiTheme="majorHAnsi" w:cstheme="majorHAnsi"/>
          <w:sz w:val="24"/>
          <w:szCs w:val="24"/>
        </w:rPr>
        <w:t xml:space="preserve">Les difficultés entrepreneuriales sont ainsi à la fois individuelles et collectives. Aux épreuves personnelles </w:t>
      </w:r>
      <w:r>
        <w:rPr>
          <w:rFonts w:asciiTheme="majorHAnsi" w:hAnsiTheme="majorHAnsi" w:cstheme="majorHAnsi"/>
          <w:sz w:val="24"/>
          <w:szCs w:val="24"/>
        </w:rPr>
        <w:t xml:space="preserve">– </w:t>
      </w:r>
      <w:r w:rsidRPr="00D77C54">
        <w:rPr>
          <w:rFonts w:asciiTheme="majorHAnsi" w:hAnsiTheme="majorHAnsi" w:cstheme="majorHAnsi"/>
          <w:sz w:val="24"/>
          <w:szCs w:val="24"/>
        </w:rPr>
        <w:t xml:space="preserve">charge mentale, solitude décisionnelle, incertitude financière </w:t>
      </w:r>
      <w:r>
        <w:rPr>
          <w:rFonts w:asciiTheme="majorHAnsi" w:hAnsiTheme="majorHAnsi" w:cstheme="majorHAnsi"/>
          <w:sz w:val="24"/>
          <w:szCs w:val="24"/>
        </w:rPr>
        <w:t xml:space="preserve">– </w:t>
      </w:r>
      <w:r w:rsidR="00FB69C9">
        <w:rPr>
          <w:rFonts w:asciiTheme="majorHAnsi" w:hAnsiTheme="majorHAnsi" w:cstheme="majorHAnsi"/>
          <w:sz w:val="24"/>
          <w:szCs w:val="24"/>
        </w:rPr>
        <w:t>régulièrement mises en évidence</w:t>
      </w:r>
      <w:r w:rsidRPr="00D77C54">
        <w:rPr>
          <w:rFonts w:asciiTheme="majorHAnsi" w:hAnsiTheme="majorHAnsi" w:cstheme="majorHAnsi"/>
          <w:sz w:val="24"/>
          <w:szCs w:val="24"/>
        </w:rPr>
        <w:t xml:space="preserve"> dans les travaux sur la détresse entrepreneuriale (</w:t>
      </w:r>
      <w:proofErr w:type="spellStart"/>
      <w:r w:rsidRPr="00D77C54">
        <w:rPr>
          <w:rFonts w:asciiTheme="majorHAnsi" w:hAnsiTheme="majorHAnsi" w:cstheme="majorHAnsi"/>
          <w:sz w:val="24"/>
          <w:szCs w:val="24"/>
        </w:rPr>
        <w:t>Uy</w:t>
      </w:r>
      <w:proofErr w:type="spellEnd"/>
      <w:r w:rsidRPr="00D77C54">
        <w:rPr>
          <w:rFonts w:asciiTheme="majorHAnsi" w:hAnsiTheme="majorHAnsi" w:cstheme="majorHAnsi"/>
          <w:sz w:val="24"/>
          <w:szCs w:val="24"/>
        </w:rPr>
        <w:t xml:space="preserve"> et al., 2013 ; Stephan et al., 202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D77C54">
        <w:rPr>
          <w:rFonts w:asciiTheme="majorHAnsi" w:hAnsiTheme="majorHAnsi" w:cstheme="majorHAnsi"/>
          <w:sz w:val="24"/>
          <w:szCs w:val="24"/>
        </w:rPr>
        <w:t xml:space="preserve"> ; </w:t>
      </w:r>
      <w:proofErr w:type="spellStart"/>
      <w:r w:rsidRPr="00D77C54">
        <w:rPr>
          <w:rFonts w:asciiTheme="majorHAnsi" w:hAnsiTheme="majorHAnsi" w:cstheme="majorHAnsi"/>
          <w:sz w:val="24"/>
          <w:szCs w:val="24"/>
        </w:rPr>
        <w:t>Torrès</w:t>
      </w:r>
      <w:proofErr w:type="spellEnd"/>
      <w:r w:rsidRPr="00D77C54">
        <w:rPr>
          <w:rFonts w:asciiTheme="majorHAnsi" w:hAnsiTheme="majorHAnsi" w:cstheme="majorHAnsi"/>
          <w:sz w:val="24"/>
          <w:szCs w:val="24"/>
        </w:rPr>
        <w:t xml:space="preserve">, 2022), s’ajoutent des difficultés territoriales et sectorielles : crises économiques localisées, transformations des filières, désertification des services, pression réglementaire, chocs climatiques ou sanitaires (Williams &amp; Shepherd, 2016 ; Doern, 2016 ; </w:t>
      </w:r>
      <w:proofErr w:type="spellStart"/>
      <w:r w:rsidRPr="00D77C54">
        <w:rPr>
          <w:rFonts w:asciiTheme="majorHAnsi" w:hAnsiTheme="majorHAnsi" w:cstheme="majorHAnsi"/>
          <w:sz w:val="24"/>
          <w:szCs w:val="24"/>
        </w:rPr>
        <w:t>Branzei</w:t>
      </w:r>
      <w:proofErr w:type="spellEnd"/>
      <w:r w:rsidRPr="00D77C54">
        <w:rPr>
          <w:rFonts w:asciiTheme="majorHAnsi" w:hAnsiTheme="majorHAnsi" w:cstheme="majorHAnsi"/>
          <w:sz w:val="24"/>
          <w:szCs w:val="24"/>
        </w:rPr>
        <w:t xml:space="preserve"> &amp; Abdelnour, 2010).</w:t>
      </w:r>
    </w:p>
    <w:p w14:paraId="3050156F" w14:textId="5F9CA7B6" w:rsidR="00D77C54" w:rsidRPr="00D77C54" w:rsidRDefault="00D77C54" w:rsidP="00D77C54">
      <w:pPr>
        <w:jc w:val="both"/>
        <w:rPr>
          <w:rFonts w:asciiTheme="majorHAnsi" w:hAnsiTheme="majorHAnsi" w:cstheme="majorHAnsi"/>
          <w:sz w:val="24"/>
          <w:szCs w:val="24"/>
        </w:rPr>
      </w:pPr>
      <w:r w:rsidRPr="00D77C54">
        <w:rPr>
          <w:rFonts w:asciiTheme="majorHAnsi" w:hAnsiTheme="majorHAnsi" w:cstheme="majorHAnsi"/>
          <w:sz w:val="24"/>
          <w:szCs w:val="24"/>
        </w:rPr>
        <w:t xml:space="preserve">Ces dimensions imbriquées interrogent profondément les conditions de la santé mentale entrepreneuriale et les capacités de résilience des territoires. Elles invitent à repenser l’accompagnement entrepreneurial non seulement comme un soutien individuel, mais </w:t>
      </w:r>
      <w:r w:rsidR="00FB69C9">
        <w:rPr>
          <w:rFonts w:asciiTheme="majorHAnsi" w:hAnsiTheme="majorHAnsi" w:cstheme="majorHAnsi"/>
          <w:sz w:val="24"/>
          <w:szCs w:val="24"/>
        </w:rPr>
        <w:t xml:space="preserve">aussi </w:t>
      </w:r>
      <w:r w:rsidRPr="00D77C54">
        <w:rPr>
          <w:rFonts w:asciiTheme="majorHAnsi" w:hAnsiTheme="majorHAnsi" w:cstheme="majorHAnsi"/>
          <w:sz w:val="24"/>
          <w:szCs w:val="24"/>
        </w:rPr>
        <w:t>comme un dispositif ancré dans des dynamiques collectives, institutionnelles et territoriales (</w:t>
      </w:r>
      <w:proofErr w:type="spellStart"/>
      <w:r w:rsidRPr="00D77C54">
        <w:rPr>
          <w:rFonts w:asciiTheme="majorHAnsi" w:hAnsiTheme="majorHAnsi" w:cstheme="majorHAnsi"/>
          <w:sz w:val="24"/>
          <w:szCs w:val="24"/>
        </w:rPr>
        <w:t>Messeghem</w:t>
      </w:r>
      <w:proofErr w:type="spellEnd"/>
      <w:r w:rsidRPr="00D77C54">
        <w:rPr>
          <w:rFonts w:asciiTheme="majorHAnsi" w:hAnsiTheme="majorHAnsi" w:cstheme="majorHAnsi"/>
          <w:sz w:val="24"/>
          <w:szCs w:val="24"/>
        </w:rPr>
        <w:t xml:space="preserve"> et al. 2013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77C54">
        <w:rPr>
          <w:rFonts w:asciiTheme="majorHAnsi" w:hAnsiTheme="majorHAnsi" w:cstheme="majorHAnsi"/>
          <w:sz w:val="24"/>
          <w:szCs w:val="24"/>
        </w:rPr>
        <w:t>; Guerrero et al. 2016).</w:t>
      </w:r>
    </w:p>
    <w:p w14:paraId="3964C1E1" w14:textId="423576E6" w:rsidR="0019140A" w:rsidRDefault="00D77C54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 w:rsidRPr="00D77C54">
        <w:rPr>
          <w:rFonts w:asciiTheme="majorHAnsi" w:hAnsiTheme="majorHAnsi" w:cstheme="majorHAnsi"/>
          <w:sz w:val="24"/>
          <w:szCs w:val="24"/>
        </w:rPr>
        <w:t xml:space="preserve">Ce workshop vise ainsi à ouvrir un espace de dialogue pour explorer </w:t>
      </w:r>
      <w:r w:rsidR="003C1ADE">
        <w:rPr>
          <w:rFonts w:asciiTheme="majorHAnsi" w:hAnsiTheme="majorHAnsi" w:cstheme="majorHAnsi"/>
          <w:sz w:val="24"/>
          <w:szCs w:val="24"/>
        </w:rPr>
        <w:t>l</w:t>
      </w:r>
      <w:r w:rsidRPr="00D77C54">
        <w:rPr>
          <w:rFonts w:asciiTheme="majorHAnsi" w:hAnsiTheme="majorHAnsi" w:cstheme="majorHAnsi"/>
          <w:sz w:val="24"/>
          <w:szCs w:val="24"/>
        </w:rPr>
        <w:t>es articulations entre vulnérabilités individuelles, environnements territoriaux et dispositifs d’accompagnement.</w:t>
      </w:r>
      <w:r w:rsidR="00073843">
        <w:rPr>
          <w:rFonts w:asciiTheme="majorHAnsi" w:hAnsiTheme="majorHAnsi" w:cstheme="majorHAnsi"/>
          <w:sz w:val="24"/>
          <w:szCs w:val="24"/>
        </w:rPr>
        <w:t xml:space="preserve"> </w:t>
      </w:r>
      <w:r w:rsidR="0019140A">
        <w:rPr>
          <w:rFonts w:asciiTheme="majorHAnsi" w:hAnsiTheme="majorHAnsi" w:cstheme="majorHAnsi"/>
          <w:sz w:val="24"/>
          <w:szCs w:val="24"/>
        </w:rPr>
        <w:t>Il</w:t>
      </w:r>
      <w:r w:rsidR="0019140A" w:rsidRPr="0019140A">
        <w:rPr>
          <w:rFonts w:asciiTheme="majorHAnsi" w:hAnsiTheme="majorHAnsi" w:cstheme="majorHAnsi"/>
          <w:sz w:val="24"/>
          <w:szCs w:val="24"/>
        </w:rPr>
        <w:t xml:space="preserve"> s’organisera autour d’ateliers de discussion et de travail collectif, visant à accompagner les auteurs dans le développement et l’amélioration de leurs contributions, notamment en vue du numéro spécial de la revue </w:t>
      </w:r>
      <w:r w:rsidR="0019140A" w:rsidRPr="0019140A">
        <w:rPr>
          <w:rFonts w:asciiTheme="majorHAnsi" w:hAnsiTheme="majorHAnsi" w:cstheme="majorHAnsi"/>
          <w:i/>
          <w:iCs/>
          <w:sz w:val="24"/>
          <w:szCs w:val="24"/>
        </w:rPr>
        <w:t>Vie &amp; Sciences de l’entreprise</w:t>
      </w:r>
      <w:r w:rsidR="0019140A" w:rsidRPr="0019140A">
        <w:rPr>
          <w:rFonts w:asciiTheme="majorHAnsi" w:hAnsiTheme="majorHAnsi" w:cstheme="majorHAnsi"/>
          <w:sz w:val="24"/>
          <w:szCs w:val="24"/>
        </w:rPr>
        <w:t>.</w:t>
      </w:r>
    </w:p>
    <w:p w14:paraId="4AFDBD9B" w14:textId="3162E129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 w:rsidRPr="003C1ADE">
        <w:rPr>
          <w:rFonts w:asciiTheme="majorHAnsi" w:hAnsiTheme="majorHAnsi" w:cstheme="majorHAnsi"/>
          <w:sz w:val="24"/>
          <w:szCs w:val="24"/>
        </w:rPr>
        <w:lastRenderedPageBreak/>
        <w:t>Sont attendues des communications cherchant notamment à contribuer aux axes suivants</w:t>
      </w:r>
      <w:r>
        <w:rPr>
          <w:rFonts w:asciiTheme="majorHAnsi" w:hAnsiTheme="majorHAnsi" w:cstheme="majorHAnsi"/>
          <w:sz w:val="24"/>
          <w:szCs w:val="24"/>
        </w:rPr>
        <w:t xml:space="preserve"> : </w:t>
      </w:r>
    </w:p>
    <w:p w14:paraId="035FCF23" w14:textId="4F05EB7E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3C1ADE">
        <w:rPr>
          <w:rFonts w:asciiTheme="majorHAnsi" w:hAnsiTheme="majorHAnsi" w:cstheme="majorHAnsi"/>
          <w:sz w:val="24"/>
          <w:szCs w:val="24"/>
        </w:rPr>
        <w:t xml:space="preserve">1. </w:t>
      </w:r>
      <w:r w:rsidRPr="003C1ADE">
        <w:rPr>
          <w:rFonts w:asciiTheme="majorHAnsi" w:hAnsiTheme="majorHAnsi" w:cstheme="majorHAnsi"/>
          <w:sz w:val="24"/>
          <w:szCs w:val="24"/>
          <w:u w:val="single"/>
        </w:rPr>
        <w:t>Santé mentale entrepreneuriale : dépasser l’approche individuelle</w:t>
      </w:r>
    </w:p>
    <w:p w14:paraId="0D9A18E8" w14:textId="4774248D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Limites des approches centrées sur la responsabilité individuelle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BBA2FAE" w14:textId="4DAAFD9A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Reconnaissance de la souffrance psychique dans le travail indépendant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0C41747" w14:textId="33CFE89E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Stigmatisation, invisibilisation et non-recours à l’aide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5DBDDC60" w14:textId="3EEC4070" w:rsidR="003C1ADE" w:rsidRPr="003C1ADE" w:rsidRDefault="003C1ADE" w:rsidP="003C1ADE">
      <w:pPr>
        <w:rPr>
          <w:rFonts w:asciiTheme="majorHAnsi" w:hAnsiTheme="majorHAnsi" w:cstheme="majorHAnsi"/>
          <w:sz w:val="24"/>
          <w:szCs w:val="24"/>
        </w:rPr>
      </w:pPr>
      <w:r w:rsidRPr="003C1ADE">
        <w:rPr>
          <w:rFonts w:asciiTheme="majorHAnsi" w:hAnsiTheme="majorHAnsi" w:cstheme="majorHAnsi"/>
          <w:sz w:val="24"/>
          <w:szCs w:val="24"/>
        </w:rPr>
        <w:t xml:space="preserve">2. </w:t>
      </w:r>
      <w:r w:rsidRPr="003C1ADE">
        <w:rPr>
          <w:rFonts w:asciiTheme="majorHAnsi" w:hAnsiTheme="majorHAnsi" w:cstheme="majorHAnsi"/>
          <w:sz w:val="24"/>
          <w:szCs w:val="24"/>
          <w:u w:val="single"/>
        </w:rPr>
        <w:t>Territoire, filières et vulnérabilités collectives</w:t>
      </w:r>
    </w:p>
    <w:p w14:paraId="57BC4A0E" w14:textId="4A1BCFE9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Effets des crises territoriales et sectorielles sur les entrepreneurs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D71EC9A" w14:textId="280407AB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Spécificités des territoires ruraux, agricoles, industriels ou en reconversion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468EB0E7" w14:textId="3DA705C9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Inégalités territoriales d’accès à l’accompagnement et au soin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B25698E" w14:textId="5E221B7B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 w:rsidRPr="003C1ADE">
        <w:rPr>
          <w:rFonts w:asciiTheme="majorHAnsi" w:hAnsiTheme="majorHAnsi" w:cstheme="majorHAnsi"/>
          <w:sz w:val="24"/>
          <w:szCs w:val="24"/>
        </w:rPr>
        <w:t xml:space="preserve">3. </w:t>
      </w:r>
      <w:r w:rsidRPr="003C1ADE">
        <w:rPr>
          <w:rFonts w:asciiTheme="majorHAnsi" w:hAnsiTheme="majorHAnsi" w:cstheme="majorHAnsi"/>
          <w:sz w:val="24"/>
          <w:szCs w:val="24"/>
          <w:u w:val="single"/>
        </w:rPr>
        <w:t>Accompagnement entrepreneurial et santé mentale</w:t>
      </w:r>
    </w:p>
    <w:p w14:paraId="154F4C0C" w14:textId="1B579698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Articulation entre accompagnement économique, social et psychologique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1E252BB9" w14:textId="0A3914B9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Rôle des acteurs de l’accompagnement (incubateurs, chambres consulaires, réseaux, collectivités)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130B1700" w14:textId="1404BD96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Dispositifs innovants et coopérations territoriales (ex.</w:t>
      </w:r>
      <w:r w:rsidR="00FB69C9">
        <w:rPr>
          <w:rFonts w:asciiTheme="majorHAnsi" w:hAnsiTheme="majorHAnsi" w:cstheme="majorHAnsi"/>
          <w:sz w:val="24"/>
          <w:szCs w:val="24"/>
        </w:rPr>
        <w:t xml:space="preserve"> : </w:t>
      </w:r>
      <w:r w:rsidRPr="003C1ADE">
        <w:rPr>
          <w:rFonts w:asciiTheme="majorHAnsi" w:hAnsiTheme="majorHAnsi" w:cstheme="majorHAnsi"/>
          <w:sz w:val="24"/>
          <w:szCs w:val="24"/>
        </w:rPr>
        <w:t>APESA)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2B7E16B8" w14:textId="58AA4168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 w:rsidRPr="003C1ADE">
        <w:rPr>
          <w:rFonts w:asciiTheme="majorHAnsi" w:hAnsiTheme="majorHAnsi" w:cstheme="majorHAnsi"/>
          <w:sz w:val="24"/>
          <w:szCs w:val="24"/>
        </w:rPr>
        <w:t xml:space="preserve">4. </w:t>
      </w:r>
      <w:r w:rsidRPr="003C1ADE">
        <w:rPr>
          <w:rFonts w:asciiTheme="majorHAnsi" w:hAnsiTheme="majorHAnsi" w:cstheme="majorHAnsi"/>
          <w:sz w:val="24"/>
          <w:szCs w:val="24"/>
          <w:u w:val="single"/>
        </w:rPr>
        <w:t>Résilience collective et écosystèmes entrepreneuriaux</w:t>
      </w:r>
    </w:p>
    <w:p w14:paraId="1F3A61C5" w14:textId="0DD7EDBE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Réseaux de pairs, entraide et soutien social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1DC57CA3" w14:textId="2FC852EA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Gouvernance territoriale de la résilience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3C4B4A4A" w14:textId="33219A06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Apprentissage collectif face à la difficulté et à l’échec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2F6DC0E4" w14:textId="7E3AC34C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 w:rsidRPr="003C1ADE">
        <w:rPr>
          <w:rFonts w:asciiTheme="majorHAnsi" w:hAnsiTheme="majorHAnsi" w:cstheme="majorHAnsi"/>
          <w:sz w:val="24"/>
          <w:szCs w:val="24"/>
        </w:rPr>
        <w:t xml:space="preserve">5. </w:t>
      </w:r>
      <w:r w:rsidRPr="003C1ADE">
        <w:rPr>
          <w:rFonts w:asciiTheme="majorHAnsi" w:hAnsiTheme="majorHAnsi" w:cstheme="majorHAnsi"/>
          <w:sz w:val="24"/>
          <w:szCs w:val="24"/>
          <w:u w:val="single"/>
        </w:rPr>
        <w:t>Méthodologies et recherches engagées</w:t>
      </w:r>
    </w:p>
    <w:p w14:paraId="208DB3A9" w14:textId="2B1EA8CE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Études de cas territorialisées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77322326" w14:textId="523EAB65" w:rsidR="003C1ADE" w:rsidRP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Méthodes qualitatives, cliniques, longitudinales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009DA476" w14:textId="4942233F" w:rsidR="003C1ADE" w:rsidRDefault="003C1ADE" w:rsidP="003C1AD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3C1ADE">
        <w:rPr>
          <w:rFonts w:asciiTheme="majorHAnsi" w:hAnsiTheme="majorHAnsi" w:cstheme="majorHAnsi"/>
          <w:sz w:val="24"/>
          <w:szCs w:val="24"/>
        </w:rPr>
        <w:t>Recherche-intervention et co-construction avec les acteurs de terrain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F9ED7CD" w14:textId="35657AE6" w:rsidR="00AC2445" w:rsidRDefault="00266CFC" w:rsidP="00D77C54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266CFC">
        <w:rPr>
          <w:rFonts w:asciiTheme="majorHAnsi" w:eastAsia="Calibri" w:hAnsiTheme="majorHAnsi" w:cstheme="majorHAnsi"/>
          <w:sz w:val="24"/>
          <w:szCs w:val="24"/>
        </w:rPr>
        <w:t>En fin de journée, une table ronde réunira des acteurs de terrain autour du thème «</w:t>
      </w:r>
      <w:r>
        <w:rPr>
          <w:rFonts w:asciiTheme="majorHAnsi" w:eastAsia="Calibri" w:hAnsiTheme="majorHAnsi" w:cstheme="majorHAnsi"/>
          <w:sz w:val="24"/>
          <w:szCs w:val="24"/>
        </w:rPr>
        <w:t> </w:t>
      </w:r>
      <w:r w:rsidRPr="00266CFC">
        <w:rPr>
          <w:rFonts w:asciiTheme="majorHAnsi" w:eastAsia="Calibri" w:hAnsiTheme="majorHAnsi" w:cstheme="majorHAnsi"/>
          <w:i/>
          <w:iCs/>
          <w:sz w:val="24"/>
          <w:szCs w:val="24"/>
        </w:rPr>
        <w:t>Surmonter les épreuves entrepreneuriales : entre solutions techniques et ressorts psychologiques</w:t>
      </w:r>
      <w:r w:rsidRPr="00266CFC">
        <w:rPr>
          <w:rFonts w:asciiTheme="majorHAnsi" w:eastAsia="Calibri" w:hAnsiTheme="majorHAnsi" w:cstheme="majorHAnsi"/>
          <w:sz w:val="24"/>
          <w:szCs w:val="24"/>
        </w:rPr>
        <w:t xml:space="preserve"> ».</w:t>
      </w:r>
    </w:p>
    <w:p w14:paraId="617B7A06" w14:textId="77777777" w:rsidR="00266CFC" w:rsidRDefault="00266CFC" w:rsidP="00D77C54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6BBD160" w14:textId="556FCC5B" w:rsidR="0031394D" w:rsidRPr="00073843" w:rsidRDefault="0031394D" w:rsidP="001F37DA">
      <w:pPr>
        <w:jc w:val="both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 w:rsidRPr="00073843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Modalités de soumission</w:t>
      </w:r>
    </w:p>
    <w:p w14:paraId="00000013" w14:textId="1E1623D4" w:rsidR="00307299" w:rsidRPr="00073843" w:rsidRDefault="00000000" w:rsidP="001F37D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73843">
        <w:rPr>
          <w:rFonts w:asciiTheme="majorHAnsi" w:eastAsia="Calibri" w:hAnsiTheme="majorHAnsi" w:cstheme="majorHAnsi"/>
          <w:sz w:val="24"/>
          <w:szCs w:val="24"/>
        </w:rPr>
        <w:t xml:space="preserve">Les contributions attendues sont des </w:t>
      </w:r>
      <w:r w:rsidR="00053B30" w:rsidRPr="00073843">
        <w:rPr>
          <w:rFonts w:asciiTheme="majorHAnsi" w:eastAsia="Calibri" w:hAnsiTheme="majorHAnsi" w:cstheme="majorHAnsi"/>
          <w:sz w:val="24"/>
          <w:szCs w:val="24"/>
        </w:rPr>
        <w:t>« </w:t>
      </w:r>
      <w:r w:rsidR="0033601C" w:rsidRPr="00073843">
        <w:rPr>
          <w:rFonts w:asciiTheme="majorHAnsi" w:eastAsia="Calibri" w:hAnsiTheme="majorHAnsi" w:cstheme="majorHAnsi"/>
          <w:sz w:val="24"/>
          <w:szCs w:val="24"/>
        </w:rPr>
        <w:t>s</w:t>
      </w:r>
      <w:r w:rsidRPr="00073843">
        <w:rPr>
          <w:rFonts w:asciiTheme="majorHAnsi" w:eastAsia="Calibri" w:hAnsiTheme="majorHAnsi" w:cstheme="majorHAnsi"/>
          <w:sz w:val="24"/>
          <w:szCs w:val="24"/>
        </w:rPr>
        <w:t xml:space="preserve">hort </w:t>
      </w:r>
      <w:proofErr w:type="spellStart"/>
      <w:r w:rsidR="0033601C" w:rsidRPr="00073843">
        <w:rPr>
          <w:rFonts w:asciiTheme="majorHAnsi" w:eastAsia="Calibri" w:hAnsiTheme="majorHAnsi" w:cstheme="majorHAnsi"/>
          <w:sz w:val="24"/>
          <w:szCs w:val="24"/>
        </w:rPr>
        <w:t>p</w:t>
      </w:r>
      <w:r w:rsidRPr="00073843">
        <w:rPr>
          <w:rFonts w:asciiTheme="majorHAnsi" w:eastAsia="Calibri" w:hAnsiTheme="majorHAnsi" w:cstheme="majorHAnsi"/>
          <w:sz w:val="24"/>
          <w:szCs w:val="24"/>
        </w:rPr>
        <w:t>apers</w:t>
      </w:r>
      <w:proofErr w:type="spellEnd"/>
      <w:r w:rsidR="00053B30" w:rsidRPr="00073843">
        <w:rPr>
          <w:rFonts w:asciiTheme="majorHAnsi" w:eastAsia="Calibri" w:hAnsiTheme="majorHAnsi" w:cstheme="majorHAnsi"/>
          <w:sz w:val="24"/>
          <w:szCs w:val="24"/>
        </w:rPr>
        <w:t> »</w:t>
      </w:r>
      <w:r w:rsidRPr="00073843">
        <w:rPr>
          <w:rFonts w:asciiTheme="majorHAnsi" w:eastAsia="Calibri" w:hAnsiTheme="majorHAnsi" w:cstheme="majorHAnsi"/>
          <w:sz w:val="24"/>
          <w:szCs w:val="24"/>
        </w:rPr>
        <w:t xml:space="preserve"> (3</w:t>
      </w:r>
      <w:r w:rsidR="00053B30" w:rsidRPr="00073843">
        <w:rPr>
          <w:rFonts w:asciiTheme="majorHAnsi" w:eastAsia="Calibri" w:hAnsiTheme="majorHAnsi" w:cstheme="majorHAnsi"/>
          <w:sz w:val="24"/>
          <w:szCs w:val="24"/>
        </w:rPr>
        <w:t>.</w:t>
      </w:r>
      <w:r w:rsidRPr="00073843">
        <w:rPr>
          <w:rFonts w:asciiTheme="majorHAnsi" w:eastAsia="Calibri" w:hAnsiTheme="majorHAnsi" w:cstheme="majorHAnsi"/>
          <w:sz w:val="24"/>
          <w:szCs w:val="24"/>
        </w:rPr>
        <w:t>000 mots max</w:t>
      </w:r>
      <w:r w:rsidR="0033601C" w:rsidRPr="00073843">
        <w:rPr>
          <w:rFonts w:asciiTheme="majorHAnsi" w:eastAsia="Calibri" w:hAnsiTheme="majorHAnsi" w:cstheme="majorHAnsi"/>
          <w:sz w:val="24"/>
          <w:szCs w:val="24"/>
        </w:rPr>
        <w:t>imum</w:t>
      </w:r>
      <w:r w:rsidRPr="00073843">
        <w:rPr>
          <w:rFonts w:asciiTheme="majorHAnsi" w:eastAsia="Calibri" w:hAnsiTheme="majorHAnsi" w:cstheme="majorHAnsi"/>
          <w:sz w:val="24"/>
          <w:szCs w:val="24"/>
        </w:rPr>
        <w:t>).</w:t>
      </w:r>
      <w:r w:rsidR="0033601C" w:rsidRPr="0007384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073843">
        <w:rPr>
          <w:rFonts w:asciiTheme="majorHAnsi" w:eastAsia="Calibri" w:hAnsiTheme="majorHAnsi" w:cstheme="majorHAnsi"/>
          <w:sz w:val="24"/>
          <w:szCs w:val="24"/>
        </w:rPr>
        <w:t xml:space="preserve">Un prix du meilleur papier sera remis </w:t>
      </w:r>
      <w:r w:rsidR="00053B30" w:rsidRPr="00073843">
        <w:rPr>
          <w:rFonts w:asciiTheme="majorHAnsi" w:eastAsia="Calibri" w:hAnsiTheme="majorHAnsi" w:cstheme="majorHAnsi"/>
          <w:sz w:val="24"/>
          <w:szCs w:val="24"/>
        </w:rPr>
        <w:t xml:space="preserve">lors de l’événement </w:t>
      </w:r>
      <w:r w:rsidRPr="00073843">
        <w:rPr>
          <w:rFonts w:asciiTheme="majorHAnsi" w:eastAsia="Calibri" w:hAnsiTheme="majorHAnsi" w:cstheme="majorHAnsi"/>
          <w:sz w:val="24"/>
          <w:szCs w:val="24"/>
        </w:rPr>
        <w:t xml:space="preserve">et les </w:t>
      </w:r>
      <w:r w:rsidR="00053B30" w:rsidRPr="00073843">
        <w:rPr>
          <w:rFonts w:asciiTheme="majorHAnsi" w:eastAsia="Calibri" w:hAnsiTheme="majorHAnsi" w:cstheme="majorHAnsi"/>
          <w:sz w:val="24"/>
          <w:szCs w:val="24"/>
        </w:rPr>
        <w:t xml:space="preserve">contributions </w:t>
      </w:r>
      <w:r w:rsidR="00DF5607" w:rsidRPr="00073843">
        <w:rPr>
          <w:rFonts w:asciiTheme="majorHAnsi" w:eastAsia="Calibri" w:hAnsiTheme="majorHAnsi" w:cstheme="majorHAnsi"/>
          <w:sz w:val="24"/>
          <w:szCs w:val="24"/>
        </w:rPr>
        <w:t xml:space="preserve">les plus prometteuses </w:t>
      </w:r>
      <w:r w:rsidR="00053B30" w:rsidRPr="00073843">
        <w:rPr>
          <w:rFonts w:asciiTheme="majorHAnsi" w:eastAsia="Calibri" w:hAnsiTheme="majorHAnsi" w:cstheme="majorHAnsi"/>
          <w:sz w:val="24"/>
          <w:szCs w:val="24"/>
        </w:rPr>
        <w:t>pourront intégrer le processus de sélection du numéro spécial de la revue</w:t>
      </w:r>
      <w:r w:rsidRPr="0007384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73843" w:rsidRPr="00073843">
        <w:rPr>
          <w:rFonts w:asciiTheme="majorHAnsi" w:eastAsia="Calibri" w:hAnsiTheme="majorHAnsi" w:cstheme="majorHAnsi"/>
          <w:i/>
          <w:iCs/>
          <w:sz w:val="24"/>
          <w:szCs w:val="24"/>
        </w:rPr>
        <w:t>Vie &amp; Sciences de l’entreprise</w:t>
      </w:r>
      <w:r w:rsidR="0033601C" w:rsidRPr="00073843">
        <w:rPr>
          <w:rFonts w:asciiTheme="majorHAnsi" w:eastAsia="Calibri" w:hAnsiTheme="majorHAnsi" w:cstheme="majorHAnsi"/>
          <w:sz w:val="24"/>
          <w:szCs w:val="24"/>
        </w:rPr>
        <w:t>, dont la deadline</w:t>
      </w:r>
      <w:r w:rsidR="00073843" w:rsidRPr="0007384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3601C" w:rsidRPr="00073843">
        <w:rPr>
          <w:rFonts w:asciiTheme="majorHAnsi" w:eastAsia="Calibri" w:hAnsiTheme="majorHAnsi" w:cstheme="majorHAnsi"/>
          <w:sz w:val="24"/>
          <w:szCs w:val="24"/>
        </w:rPr>
        <w:t xml:space="preserve">a été fixée au </w:t>
      </w:r>
      <w:r w:rsidR="00FB69C9">
        <w:rPr>
          <w:rFonts w:asciiTheme="majorHAnsi" w:eastAsia="Calibri" w:hAnsiTheme="majorHAnsi" w:cstheme="majorHAnsi"/>
          <w:sz w:val="24"/>
          <w:szCs w:val="24"/>
        </w:rPr>
        <w:t>15</w:t>
      </w:r>
      <w:r w:rsidR="00053B30" w:rsidRPr="00073843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B69C9">
        <w:rPr>
          <w:rFonts w:asciiTheme="majorHAnsi" w:eastAsia="Calibri" w:hAnsiTheme="majorHAnsi" w:cstheme="majorHAnsi"/>
          <w:sz w:val="24"/>
          <w:szCs w:val="24"/>
        </w:rPr>
        <w:t>janvier</w:t>
      </w:r>
      <w:r w:rsidRPr="00073843">
        <w:rPr>
          <w:rFonts w:asciiTheme="majorHAnsi" w:eastAsia="Calibri" w:hAnsiTheme="majorHAnsi" w:cstheme="majorHAnsi"/>
          <w:sz w:val="24"/>
          <w:szCs w:val="24"/>
        </w:rPr>
        <w:t xml:space="preserve"> 202</w:t>
      </w:r>
      <w:r w:rsidR="00073843" w:rsidRPr="00073843">
        <w:rPr>
          <w:rFonts w:asciiTheme="majorHAnsi" w:eastAsia="Calibri" w:hAnsiTheme="majorHAnsi" w:cstheme="majorHAnsi"/>
          <w:sz w:val="24"/>
          <w:szCs w:val="24"/>
        </w:rPr>
        <w:t>7</w:t>
      </w:r>
      <w:r w:rsidRPr="00073843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24E09BE3" w14:textId="291D80DD" w:rsidR="0033601C" w:rsidRPr="00073843" w:rsidRDefault="00DF5607" w:rsidP="001F37D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73843">
        <w:rPr>
          <w:rFonts w:asciiTheme="majorHAnsi" w:eastAsia="Calibri" w:hAnsiTheme="majorHAnsi" w:cstheme="majorHAnsi"/>
          <w:sz w:val="24"/>
          <w:szCs w:val="24"/>
          <w:u w:val="single"/>
        </w:rPr>
        <w:t>Date limite de dépôt des communications</w:t>
      </w:r>
      <w:r w:rsidR="0033601C" w:rsidRPr="00073843">
        <w:rPr>
          <w:rFonts w:asciiTheme="majorHAnsi" w:eastAsia="Calibri" w:hAnsiTheme="majorHAnsi" w:cstheme="majorHAnsi"/>
          <w:sz w:val="24"/>
          <w:szCs w:val="24"/>
        </w:rPr>
        <w:t xml:space="preserve"> : </w:t>
      </w:r>
      <w:r w:rsidR="00073843" w:rsidRPr="00073843">
        <w:rPr>
          <w:rFonts w:asciiTheme="majorHAnsi" w:eastAsia="Calibri" w:hAnsiTheme="majorHAnsi" w:cstheme="majorHAnsi"/>
          <w:sz w:val="24"/>
          <w:szCs w:val="24"/>
        </w:rPr>
        <w:t>1</w:t>
      </w:r>
      <w:r w:rsidR="00073843" w:rsidRPr="00073843">
        <w:rPr>
          <w:rFonts w:asciiTheme="majorHAnsi" w:eastAsia="Calibri" w:hAnsiTheme="majorHAnsi" w:cstheme="majorHAnsi"/>
          <w:sz w:val="24"/>
          <w:szCs w:val="24"/>
          <w:vertAlign w:val="superscript"/>
        </w:rPr>
        <w:t>er</w:t>
      </w:r>
      <w:r w:rsidR="00073843" w:rsidRPr="00073843">
        <w:rPr>
          <w:rFonts w:asciiTheme="majorHAnsi" w:eastAsia="Calibri" w:hAnsiTheme="majorHAnsi" w:cstheme="majorHAnsi"/>
          <w:sz w:val="24"/>
          <w:szCs w:val="24"/>
        </w:rPr>
        <w:t xml:space="preserve"> juillet</w:t>
      </w:r>
      <w:r w:rsidR="0033601C" w:rsidRPr="00073843">
        <w:rPr>
          <w:rFonts w:asciiTheme="majorHAnsi" w:eastAsia="Calibri" w:hAnsiTheme="majorHAnsi" w:cstheme="majorHAnsi"/>
          <w:sz w:val="24"/>
          <w:szCs w:val="24"/>
        </w:rPr>
        <w:t xml:space="preserve"> 2026. </w:t>
      </w:r>
    </w:p>
    <w:p w14:paraId="39990731" w14:textId="4179BA66" w:rsidR="00053B30" w:rsidRPr="00073843" w:rsidRDefault="00053B30" w:rsidP="00053B30">
      <w:pPr>
        <w:rPr>
          <w:rFonts w:asciiTheme="majorHAnsi" w:eastAsia="Calibri" w:hAnsiTheme="majorHAnsi" w:cstheme="majorHAnsi"/>
          <w:sz w:val="24"/>
          <w:szCs w:val="24"/>
        </w:rPr>
      </w:pPr>
      <w:r w:rsidRPr="00073843">
        <w:rPr>
          <w:rFonts w:asciiTheme="majorHAnsi" w:eastAsia="Calibri" w:hAnsiTheme="majorHAnsi" w:cstheme="majorHAnsi"/>
          <w:sz w:val="24"/>
          <w:szCs w:val="24"/>
        </w:rPr>
        <w:t xml:space="preserve">→ Les propositions doivent être transmises à l’adresse suivante : </w:t>
      </w:r>
      <w:hyperlink r:id="rId7" w:history="1">
        <w:r w:rsidRPr="00073843">
          <w:rPr>
            <w:rStyle w:val="Lienhypertexte"/>
            <w:rFonts w:asciiTheme="majorHAnsi" w:eastAsia="Calibri" w:hAnsiTheme="majorHAnsi" w:cstheme="majorHAnsi"/>
            <w:sz w:val="24"/>
            <w:szCs w:val="24"/>
          </w:rPr>
          <w:t>julien.cusin@u-bordeaux.fr</w:t>
        </w:r>
      </w:hyperlink>
    </w:p>
    <w:p w14:paraId="75E3F109" w14:textId="2F351F46" w:rsidR="0033601C" w:rsidRPr="00073843" w:rsidRDefault="00DF5607" w:rsidP="001F37D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073843">
        <w:rPr>
          <w:rFonts w:asciiTheme="majorHAnsi" w:eastAsia="Calibri" w:hAnsiTheme="majorHAnsi" w:cstheme="majorHAnsi"/>
          <w:sz w:val="24"/>
          <w:szCs w:val="24"/>
          <w:u w:val="single"/>
        </w:rPr>
        <w:t>Date de retour des évaluations aux auteurs</w:t>
      </w:r>
      <w:r w:rsidR="0033601C" w:rsidRPr="00073843">
        <w:rPr>
          <w:rFonts w:asciiTheme="majorHAnsi" w:eastAsia="Calibri" w:hAnsiTheme="majorHAnsi" w:cstheme="majorHAnsi"/>
          <w:sz w:val="24"/>
          <w:szCs w:val="24"/>
        </w:rPr>
        <w:t xml:space="preserve"> : </w:t>
      </w:r>
      <w:r w:rsidR="00073843" w:rsidRPr="00073843">
        <w:rPr>
          <w:rFonts w:asciiTheme="majorHAnsi" w:eastAsia="Calibri" w:hAnsiTheme="majorHAnsi" w:cstheme="majorHAnsi"/>
          <w:sz w:val="24"/>
          <w:szCs w:val="24"/>
        </w:rPr>
        <w:t>1</w:t>
      </w:r>
      <w:r w:rsidR="00073843" w:rsidRPr="00073843">
        <w:rPr>
          <w:rFonts w:asciiTheme="majorHAnsi" w:eastAsia="Calibri" w:hAnsiTheme="majorHAnsi" w:cstheme="majorHAnsi"/>
          <w:sz w:val="24"/>
          <w:szCs w:val="24"/>
          <w:vertAlign w:val="superscript"/>
        </w:rPr>
        <w:t>er</w:t>
      </w:r>
      <w:r w:rsidR="00073843" w:rsidRPr="00073843">
        <w:rPr>
          <w:rFonts w:asciiTheme="majorHAnsi" w:eastAsia="Calibri" w:hAnsiTheme="majorHAnsi" w:cstheme="majorHAnsi"/>
          <w:sz w:val="24"/>
          <w:szCs w:val="24"/>
        </w:rPr>
        <w:t xml:space="preserve"> septembre</w:t>
      </w:r>
      <w:r w:rsidR="0033601C" w:rsidRPr="00073843">
        <w:rPr>
          <w:rFonts w:asciiTheme="majorHAnsi" w:eastAsia="Calibri" w:hAnsiTheme="majorHAnsi" w:cstheme="majorHAnsi"/>
          <w:sz w:val="24"/>
          <w:szCs w:val="24"/>
        </w:rPr>
        <w:t xml:space="preserve"> 2026.</w:t>
      </w:r>
    </w:p>
    <w:p w14:paraId="00000016" w14:textId="77777777" w:rsidR="00307299" w:rsidRPr="00073843" w:rsidRDefault="00307299" w:rsidP="001F37DA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1E" w14:textId="46AE60F3" w:rsidR="00307299" w:rsidRPr="009F7B3B" w:rsidRDefault="00000000" w:rsidP="001F37DA">
      <w:pPr>
        <w:jc w:val="both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9F7B3B">
        <w:rPr>
          <w:rFonts w:asciiTheme="majorHAnsi" w:eastAsia="Calibri" w:hAnsiTheme="majorHAnsi" w:cstheme="majorHAnsi"/>
          <w:b/>
          <w:sz w:val="24"/>
          <w:szCs w:val="24"/>
          <w:u w:val="single"/>
        </w:rPr>
        <w:t>Comité scientifique</w:t>
      </w:r>
    </w:p>
    <w:p w14:paraId="5531E324" w14:textId="77777777" w:rsidR="00073843" w:rsidRPr="009F7B3B" w:rsidRDefault="0031394D" w:rsidP="001F37D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7B3B">
        <w:rPr>
          <w:rFonts w:asciiTheme="majorHAnsi" w:eastAsia="Calibri" w:hAnsiTheme="majorHAnsi" w:cstheme="majorHAnsi"/>
          <w:sz w:val="24"/>
          <w:szCs w:val="24"/>
        </w:rPr>
        <w:t xml:space="preserve">Julien Cusin (Professeur des universités, IAE Bordeaux/IRGO), </w:t>
      </w:r>
    </w:p>
    <w:p w14:paraId="1397F5DD" w14:textId="34981A5F" w:rsidR="009F7B3B" w:rsidRPr="009F7B3B" w:rsidRDefault="009F7B3B" w:rsidP="001F37D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7B3B">
        <w:rPr>
          <w:rFonts w:asciiTheme="majorHAnsi" w:eastAsia="Calibri" w:hAnsiTheme="majorHAnsi" w:cstheme="majorHAnsi"/>
          <w:sz w:val="24"/>
          <w:szCs w:val="24"/>
        </w:rPr>
        <w:t>Xavier Lesage (Professeur, ESSCA School of Management),</w:t>
      </w:r>
    </w:p>
    <w:p w14:paraId="553509D4" w14:textId="77777777" w:rsidR="00073843" w:rsidRPr="009F7B3B" w:rsidRDefault="0031394D" w:rsidP="001F37D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7B3B">
        <w:rPr>
          <w:rFonts w:asciiTheme="majorHAnsi" w:eastAsia="Calibri" w:hAnsiTheme="majorHAnsi" w:cstheme="majorHAnsi"/>
          <w:sz w:val="24"/>
          <w:szCs w:val="24"/>
        </w:rPr>
        <w:t xml:space="preserve">Vincent Maymo (Professeur des universités, IAE Bordeaux/IRGO), </w:t>
      </w:r>
    </w:p>
    <w:p w14:paraId="75C836E2" w14:textId="2485F0F5" w:rsidR="009F7B3B" w:rsidRPr="009F7B3B" w:rsidRDefault="009F7B3B" w:rsidP="001F37DA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9F7B3B">
        <w:rPr>
          <w:rFonts w:asciiTheme="majorHAnsi" w:eastAsia="Calibri" w:hAnsiTheme="majorHAnsi" w:cstheme="majorHAnsi"/>
          <w:sz w:val="24"/>
          <w:szCs w:val="24"/>
        </w:rPr>
        <w:t xml:space="preserve">Jérôme Monne (Professeur, ESSCA School of Management). </w:t>
      </w:r>
    </w:p>
    <w:p w14:paraId="00000023" w14:textId="3BC9D6E6" w:rsidR="00307299" w:rsidRPr="00D77C54" w:rsidRDefault="00000000" w:rsidP="001F37DA">
      <w:pPr>
        <w:jc w:val="both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D77C54">
        <w:rPr>
          <w:rFonts w:asciiTheme="majorHAnsi" w:eastAsia="Calibri" w:hAnsiTheme="majorHAnsi" w:cstheme="majorHAnsi"/>
          <w:b/>
          <w:sz w:val="24"/>
          <w:szCs w:val="24"/>
          <w:u w:val="single"/>
        </w:rPr>
        <w:lastRenderedPageBreak/>
        <w:t>Références indicatives</w:t>
      </w:r>
    </w:p>
    <w:p w14:paraId="179D285B" w14:textId="77777777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Ahmed, A. E., </w:t>
      </w:r>
      <w:proofErr w:type="spellStart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Ucbasaran</w:t>
      </w:r>
      <w:proofErr w:type="spellEnd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D., Cacciotti, G., &amp; Williams, T. A. (2022). Integrating psychological resilience, stress, and coping in entrepreneurship: A critical review and research agenda.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Entrepreneurship Theory and Practice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46(3), 497-538.</w:t>
      </w:r>
    </w:p>
    <w:p w14:paraId="0321DE9D" w14:textId="77777777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proofErr w:type="spellStart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Audretsch</w:t>
      </w:r>
      <w:proofErr w:type="spellEnd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D. B., Falck, O., Feldman, M. P., &amp; </w:t>
      </w:r>
      <w:proofErr w:type="spellStart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Heblich</w:t>
      </w:r>
      <w:proofErr w:type="spellEnd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S. (2012). Local entrepreneurship in context.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Regional Studies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46(3), 379-389.</w:t>
      </w:r>
    </w:p>
    <w:p w14:paraId="4565DF50" w14:textId="77777777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proofErr w:type="spellStart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Branzei</w:t>
      </w:r>
      <w:proofErr w:type="spellEnd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O., &amp; Abdelnour, S. (2010). Another day, another dollar: Enterprise resilience under terrorism in developing countries.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Journal of International Business Studies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41(5), 804-825.</w:t>
      </w:r>
    </w:p>
    <w:p w14:paraId="7034D555" w14:textId="2ACE3869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Doern, R. (2016). Entrepreneurship and crisis management: The experiences of small businesses during the London 2011 riots.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International Small Business Journal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34(3), 276-302.</w:t>
      </w:r>
    </w:p>
    <w:p w14:paraId="35E9037C" w14:textId="77777777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Guerrero, M., Urbano, D., &amp; Fayolle, A. (2016). Entrepreneurial activity and regional competitiveness: evidence from European entrepreneurial universities.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The Journal of Technology Transfer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41(1), 105-131.</w:t>
      </w:r>
    </w:p>
    <w:p w14:paraId="47376B36" w14:textId="7F799D0D" w:rsidR="00D77C54" w:rsidRPr="00286E43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proofErr w:type="spellStart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Messeghem</w:t>
      </w:r>
      <w:proofErr w:type="spellEnd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K., Sammut, S., Chabaud, D., Carrier, C., &amp; </w:t>
      </w:r>
      <w:proofErr w:type="spellStart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Thurik</w:t>
      </w:r>
      <w:proofErr w:type="spellEnd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R. (2013). </w:t>
      </w:r>
      <w:r w:rsidRPr="003C1ADE">
        <w:rPr>
          <w:rFonts w:asciiTheme="majorHAnsi" w:eastAsia="Calibri" w:hAnsiTheme="majorHAnsi" w:cstheme="majorHAnsi"/>
          <w:sz w:val="24"/>
          <w:szCs w:val="24"/>
          <w:lang w:val="fr-FR"/>
        </w:rPr>
        <w:t xml:space="preserve">L’accompagnement entrepreneurial, une industrie en quête de leviers de performance ? </w:t>
      </w:r>
      <w:r w:rsidRPr="00286E43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Management International</w:t>
      </w:r>
      <w:r w:rsidRPr="00286E43">
        <w:rPr>
          <w:rFonts w:asciiTheme="majorHAnsi" w:eastAsia="Calibri" w:hAnsiTheme="majorHAnsi" w:cstheme="majorHAnsi"/>
          <w:sz w:val="24"/>
          <w:szCs w:val="24"/>
          <w:lang w:val="en-US"/>
        </w:rPr>
        <w:t>, 17(3), 65-71.</w:t>
      </w:r>
    </w:p>
    <w:p w14:paraId="3418D52E" w14:textId="77777777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proofErr w:type="spellStart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Patriotta</w:t>
      </w:r>
      <w:proofErr w:type="spellEnd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G., &amp; Siegel, D. (2019). The context of entrepreneurship.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Journal of Management Studies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56(6), 1194-1196.</w:t>
      </w:r>
    </w:p>
    <w:p w14:paraId="37B70207" w14:textId="04BFF3F6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Shepherd, D. A. (2003). Learning from business failure: Propositions of grief recovery for the self-employed.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Academy of Management Review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28(2), 318-328.</w:t>
      </w:r>
    </w:p>
    <w:p w14:paraId="02D5A8DA" w14:textId="77777777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Stephan, U. (2018). Entrepreneurs’ mental health and well-being: A review and research agenda.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Academy of Management Perspectives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32(3), 290-322.</w:t>
      </w:r>
    </w:p>
    <w:p w14:paraId="59BB72A9" w14:textId="77777777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fr-FR"/>
        </w:rPr>
      </w:pP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Stephan, U., Rauch, A., &amp; </w:t>
      </w:r>
      <w:proofErr w:type="spellStart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Hatak</w:t>
      </w:r>
      <w:proofErr w:type="spellEnd"/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I. (2023). Happy entrepreneurs? Everywhere? A meta-analysis of entrepreneurship and wellbeing. </w:t>
      </w:r>
      <w:proofErr w:type="spellStart"/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fr-FR"/>
        </w:rPr>
        <w:t>Entrepreneurship</w:t>
      </w:r>
      <w:proofErr w:type="spellEnd"/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fr-FR"/>
        </w:rPr>
        <w:t xml:space="preserve"> Theory and Practice</w:t>
      </w:r>
      <w:r w:rsidRPr="003C1ADE">
        <w:rPr>
          <w:rFonts w:asciiTheme="majorHAnsi" w:eastAsia="Calibri" w:hAnsiTheme="majorHAnsi" w:cstheme="majorHAnsi"/>
          <w:sz w:val="24"/>
          <w:szCs w:val="24"/>
          <w:lang w:val="fr-FR"/>
        </w:rPr>
        <w:t>, 47(2), 553-593.</w:t>
      </w:r>
    </w:p>
    <w:p w14:paraId="072A9178" w14:textId="4D31DF22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fr-FR"/>
        </w:rPr>
      </w:pPr>
      <w:proofErr w:type="spellStart"/>
      <w:r w:rsidRPr="003C1ADE">
        <w:rPr>
          <w:rFonts w:asciiTheme="majorHAnsi" w:eastAsia="Calibri" w:hAnsiTheme="majorHAnsi" w:cstheme="majorHAnsi"/>
          <w:sz w:val="24"/>
          <w:szCs w:val="24"/>
          <w:lang w:val="fr-FR"/>
        </w:rPr>
        <w:t>Torrès</w:t>
      </w:r>
      <w:proofErr w:type="spellEnd"/>
      <w:r w:rsidRPr="003C1ADE">
        <w:rPr>
          <w:rFonts w:asciiTheme="majorHAnsi" w:eastAsia="Calibri" w:hAnsiTheme="majorHAnsi" w:cstheme="majorHAnsi"/>
          <w:sz w:val="24"/>
          <w:szCs w:val="24"/>
          <w:lang w:val="fr-FR"/>
        </w:rPr>
        <w:t>, O. (Ed.). (2022). La santé du dirigeant : De la souffrance patronale à l'entrepreneuriat salutaire. De Boeck Supérieur.</w:t>
      </w:r>
    </w:p>
    <w:p w14:paraId="071B6B6F" w14:textId="6B4FD373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proofErr w:type="spellStart"/>
      <w:r w:rsidRPr="003C1ADE">
        <w:rPr>
          <w:rFonts w:asciiTheme="majorHAnsi" w:eastAsia="Calibri" w:hAnsiTheme="majorHAnsi" w:cstheme="majorHAnsi"/>
          <w:sz w:val="24"/>
          <w:szCs w:val="24"/>
          <w:lang w:val="fr-FR"/>
        </w:rPr>
        <w:t>Ucbasaran</w:t>
      </w:r>
      <w:proofErr w:type="spellEnd"/>
      <w:r w:rsidRPr="003C1ADE">
        <w:rPr>
          <w:rFonts w:asciiTheme="majorHAnsi" w:eastAsia="Calibri" w:hAnsiTheme="majorHAnsi" w:cstheme="majorHAnsi"/>
          <w:sz w:val="24"/>
          <w:szCs w:val="24"/>
          <w:lang w:val="fr-FR"/>
        </w:rPr>
        <w:t xml:space="preserve">, D., Shepherd, D. A., Lockett, A., &amp; Lyon, S. J. (2013). 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Life after business failure: The process and consequences of business failure for entrepreneurs.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Journal of Management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39(1), 163-202.</w:t>
      </w:r>
    </w:p>
    <w:p w14:paraId="41F535B3" w14:textId="5895BE79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Uy, M. A., Foo, M. D., &amp; Song, Z. (2013). Joint effects of prior start-up experience and coping strategies on entrepreneurs’ psychological well-being.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Journal of Business Venturing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28(5), 583-597.</w:t>
      </w:r>
    </w:p>
    <w:p w14:paraId="7719EC97" w14:textId="6FFECD4F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Welter, F. (2011). Contextualizing entrepreneurship—conceptual challenges and ways forward. </w:t>
      </w:r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en-US"/>
        </w:rPr>
        <w:t>Entrepreneurship Theory and Practice</w:t>
      </w: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, 35(1), 165-184.</w:t>
      </w:r>
    </w:p>
    <w:p w14:paraId="38965185" w14:textId="77777777" w:rsidR="00D77C54" w:rsidRPr="003C1ADE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>Welter, F., &amp; Gartner, W. B. (Eds.). (2016). A research agenda for entrepreneurship and context Elgar Ed.</w:t>
      </w:r>
    </w:p>
    <w:p w14:paraId="0FCB3BDB" w14:textId="79C22E1C" w:rsidR="000C3919" w:rsidRPr="000C3919" w:rsidRDefault="00D77C54" w:rsidP="00D77C54">
      <w:pPr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3C1ADE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Williams, T. A., &amp; Shepherd, D. A. (2016). Building resilience or providing sustenance: Different paths of emergent ventures in the aftermath of the Haiti earthquake. </w:t>
      </w:r>
      <w:proofErr w:type="spellStart"/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fr-FR"/>
        </w:rPr>
        <w:t>Academy</w:t>
      </w:r>
      <w:proofErr w:type="spellEnd"/>
      <w:r w:rsidRPr="003C1ADE">
        <w:rPr>
          <w:rFonts w:asciiTheme="majorHAnsi" w:eastAsia="Calibri" w:hAnsiTheme="majorHAnsi" w:cstheme="majorHAnsi"/>
          <w:i/>
          <w:iCs/>
          <w:sz w:val="24"/>
          <w:szCs w:val="24"/>
          <w:lang w:val="fr-FR"/>
        </w:rPr>
        <w:t xml:space="preserve"> of Management Journal</w:t>
      </w:r>
      <w:r w:rsidRPr="003C1ADE">
        <w:rPr>
          <w:rFonts w:asciiTheme="majorHAnsi" w:eastAsia="Calibri" w:hAnsiTheme="majorHAnsi" w:cstheme="majorHAnsi"/>
          <w:sz w:val="24"/>
          <w:szCs w:val="24"/>
          <w:lang w:val="fr-FR"/>
        </w:rPr>
        <w:t>, 59(6), 2069-2102.</w:t>
      </w:r>
    </w:p>
    <w:sectPr w:rsidR="000C3919" w:rsidRPr="000C391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ABD6" w14:textId="77777777" w:rsidR="009E5B9E" w:rsidRDefault="009E5B9E" w:rsidP="001F37DA">
      <w:pPr>
        <w:spacing w:line="240" w:lineRule="auto"/>
      </w:pPr>
      <w:r>
        <w:separator/>
      </w:r>
    </w:p>
  </w:endnote>
  <w:endnote w:type="continuationSeparator" w:id="0">
    <w:p w14:paraId="1EAFD994" w14:textId="77777777" w:rsidR="009E5B9E" w:rsidRDefault="009E5B9E" w:rsidP="001F3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EB4F" w14:textId="77777777" w:rsidR="009E5B9E" w:rsidRDefault="009E5B9E" w:rsidP="001F37DA">
      <w:pPr>
        <w:spacing w:line="240" w:lineRule="auto"/>
      </w:pPr>
      <w:r>
        <w:separator/>
      </w:r>
    </w:p>
  </w:footnote>
  <w:footnote w:type="continuationSeparator" w:id="0">
    <w:p w14:paraId="453EE435" w14:textId="77777777" w:rsidR="009E5B9E" w:rsidRDefault="009E5B9E" w:rsidP="001F37DA">
      <w:pPr>
        <w:spacing w:line="240" w:lineRule="auto"/>
      </w:pPr>
      <w:r>
        <w:continuationSeparator/>
      </w:r>
    </w:p>
  </w:footnote>
  <w:footnote w:id="1">
    <w:p w14:paraId="21631663" w14:textId="1CA24F92" w:rsidR="00FB69C9" w:rsidRPr="00FB69C9" w:rsidRDefault="00FB69C9" w:rsidP="00FB69C9">
      <w:pPr>
        <w:pStyle w:val="Notedebasdepage"/>
        <w:jc w:val="both"/>
        <w:rPr>
          <w:rFonts w:asciiTheme="majorHAnsi" w:hAnsiTheme="majorHAnsi" w:cstheme="majorHAnsi"/>
          <w:lang w:val="fr-FR"/>
        </w:rPr>
      </w:pPr>
      <w:r w:rsidRPr="00FB69C9">
        <w:rPr>
          <w:rStyle w:val="Appelnotedebasdep"/>
          <w:rFonts w:asciiTheme="majorHAnsi" w:hAnsiTheme="majorHAnsi" w:cstheme="majorHAnsi"/>
        </w:rPr>
        <w:footnoteRef/>
      </w:r>
      <w:r w:rsidRPr="00FB69C9">
        <w:rPr>
          <w:rFonts w:asciiTheme="majorHAnsi" w:hAnsiTheme="majorHAnsi" w:cstheme="majorHAnsi"/>
        </w:rPr>
        <w:t xml:space="preserve"> RégeN-A est le réseau des chercheurs en sciences de gestion de la Région Nouvelle-Aquitaine, porté par trois laboratoires : CEREGE, IRGO et LiREM.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7767" w14:textId="3002FBFD" w:rsidR="001F37DA" w:rsidRDefault="00D77C54" w:rsidP="001F37DA">
    <w:pPr>
      <w:pStyle w:val="En-tte"/>
      <w:jc w:val="center"/>
    </w:pPr>
    <w:r w:rsidRPr="00D77C54">
      <w:rPr>
        <w:noProof/>
      </w:rPr>
      <w:drawing>
        <wp:inline distT="0" distB="0" distL="0" distR="0" wp14:anchorId="2FB26535" wp14:editId="69E15E1F">
          <wp:extent cx="1216152" cy="388620"/>
          <wp:effectExtent l="0" t="0" r="3175" b="0"/>
          <wp:docPr id="736344671" name="Image 1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344671" name="Image 1" descr="Une image contenant Police, text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0475" cy="390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98C31B" wp14:editId="5DE22AAC">
          <wp:extent cx="1066800" cy="340411"/>
          <wp:effectExtent l="0" t="0" r="0" b="2540"/>
          <wp:docPr id="1891877997" name="Image 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877997" name="Image 3" descr="Une image contenant texte, Police, logo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441" cy="344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77C54">
      <w:rPr>
        <w:noProof/>
      </w:rPr>
      <w:drawing>
        <wp:inline distT="0" distB="0" distL="0" distR="0" wp14:anchorId="0F3C3BA8" wp14:editId="14C95EF2">
          <wp:extent cx="1790700" cy="472615"/>
          <wp:effectExtent l="0" t="0" r="0" b="3810"/>
          <wp:docPr id="1436393501" name="Image 1" descr="Une image contenant texte, Police, capture d’écran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393501" name="Image 1" descr="Une image contenant texte, Police, capture d’écran, ligne&#10;&#10;Le contenu généré par l’IA peut êtr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11308" cy="478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37DA" w:rsidRPr="001F37DA">
      <w:rPr>
        <w:noProof/>
      </w:rPr>
      <w:drawing>
        <wp:inline distT="0" distB="0" distL="0" distR="0" wp14:anchorId="05157A07" wp14:editId="7D89E63C">
          <wp:extent cx="490184" cy="404219"/>
          <wp:effectExtent l="0" t="0" r="5715" b="0"/>
          <wp:docPr id="178245051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450516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08645" cy="419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37DA">
      <w:rPr>
        <w:noProof/>
      </w:rPr>
      <w:drawing>
        <wp:inline distT="0" distB="0" distL="0" distR="0" wp14:anchorId="18EF95B1" wp14:editId="3A4E71C8">
          <wp:extent cx="1059180" cy="425948"/>
          <wp:effectExtent l="0" t="0" r="0" b="0"/>
          <wp:docPr id="140513178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31784" name="Image 140513178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53" cy="428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37DA" w:rsidRPr="001F37DA">
      <w:t xml:space="preserve">  </w:t>
    </w:r>
  </w:p>
  <w:p w14:paraId="5FDE18B8" w14:textId="77777777" w:rsidR="001F37DA" w:rsidRDefault="001F37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99"/>
    <w:rsid w:val="00030DFE"/>
    <w:rsid w:val="00042D7C"/>
    <w:rsid w:val="00053B30"/>
    <w:rsid w:val="00073843"/>
    <w:rsid w:val="00092F24"/>
    <w:rsid w:val="000B44CD"/>
    <w:rsid w:val="000C3919"/>
    <w:rsid w:val="000D1B3B"/>
    <w:rsid w:val="000F7B86"/>
    <w:rsid w:val="0019140A"/>
    <w:rsid w:val="001C63C6"/>
    <w:rsid w:val="001F37DA"/>
    <w:rsid w:val="00232729"/>
    <w:rsid w:val="00266CFC"/>
    <w:rsid w:val="00286E43"/>
    <w:rsid w:val="002B1BBC"/>
    <w:rsid w:val="00307299"/>
    <w:rsid w:val="0031394D"/>
    <w:rsid w:val="0033601C"/>
    <w:rsid w:val="003C1A73"/>
    <w:rsid w:val="003C1ADE"/>
    <w:rsid w:val="00475B37"/>
    <w:rsid w:val="005209CD"/>
    <w:rsid w:val="00586221"/>
    <w:rsid w:val="005A2324"/>
    <w:rsid w:val="005A3CB1"/>
    <w:rsid w:val="006018FC"/>
    <w:rsid w:val="006E2A64"/>
    <w:rsid w:val="0070134A"/>
    <w:rsid w:val="007377D5"/>
    <w:rsid w:val="007727BA"/>
    <w:rsid w:val="007817AA"/>
    <w:rsid w:val="00954B6C"/>
    <w:rsid w:val="009E5B9E"/>
    <w:rsid w:val="009F7B3B"/>
    <w:rsid w:val="00A3151A"/>
    <w:rsid w:val="00AC1F90"/>
    <w:rsid w:val="00AC2445"/>
    <w:rsid w:val="00AC4EFB"/>
    <w:rsid w:val="00AE6F6C"/>
    <w:rsid w:val="00C35CFB"/>
    <w:rsid w:val="00CB0549"/>
    <w:rsid w:val="00D562C2"/>
    <w:rsid w:val="00D77C54"/>
    <w:rsid w:val="00DA321C"/>
    <w:rsid w:val="00DF5607"/>
    <w:rsid w:val="00E533C1"/>
    <w:rsid w:val="00F35A5F"/>
    <w:rsid w:val="00F67729"/>
    <w:rsid w:val="00FB69C9"/>
    <w:rsid w:val="00FF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8245E"/>
  <w15:docId w15:val="{42FE7EBC-0F6E-415A-97AD-F65BB79E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1F37D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7DA"/>
  </w:style>
  <w:style w:type="paragraph" w:styleId="Pieddepage">
    <w:name w:val="footer"/>
    <w:basedOn w:val="Normal"/>
    <w:link w:val="PieddepageCar"/>
    <w:uiPriority w:val="99"/>
    <w:unhideWhenUsed/>
    <w:rsid w:val="001F37D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7DA"/>
  </w:style>
  <w:style w:type="character" w:styleId="Lienhypertexte">
    <w:name w:val="Hyperlink"/>
    <w:basedOn w:val="Policepardfaut"/>
    <w:uiPriority w:val="99"/>
    <w:unhideWhenUsed/>
    <w:rsid w:val="00053B3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3B30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384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384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lien.cusin@u-bordeaux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00AA-1F08-4AE3-9CC7-1968B27A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6676</Characters>
  <Application>Microsoft Office Word</Application>
  <DocSecurity>0</DocSecurity>
  <Lines>109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Cusin</dc:creator>
  <cp:lastModifiedBy>Julien Cusin</cp:lastModifiedBy>
  <cp:revision>3</cp:revision>
  <dcterms:created xsi:type="dcterms:W3CDTF">2026-02-03T16:24:00Z</dcterms:created>
  <dcterms:modified xsi:type="dcterms:W3CDTF">2026-02-03T16:24:00Z</dcterms:modified>
</cp:coreProperties>
</file>